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636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14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>в открытом судебном заседании дело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правонарушении, возбужденное по части 2 статьи 15.33 КоАП РФ в отношении 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8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Раткогло </w:t>
      </w:r>
      <w:r>
        <w:rPr>
          <w:rStyle w:val="cat-UserDefinedgrp-37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5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6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3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>
        <w:rPr>
          <w:rStyle w:val="cat-Addressgrp-4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кв.3/1, </w:t>
      </w:r>
      <w:r>
        <w:rPr>
          <w:rStyle w:val="cat-PassportDatagrp-27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6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4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сведений о привлечении к административной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ответственности не представлено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3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генеральным 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8rplc-1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,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 месяцев (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совершил </w:t>
      </w:r>
      <w:r>
        <w:rPr>
          <w:rFonts w:ascii="Times New Roman" w:eastAsia="Times New Roman" w:hAnsi="Times New Roman" w:cs="Times New Roman"/>
          <w:sz w:val="27"/>
          <w:szCs w:val="27"/>
        </w:rPr>
        <w:t>28.01.2025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00:01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3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3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 месяцев (</w:t>
      </w:r>
      <w:r>
        <w:rPr>
          <w:rStyle w:val="cat-Addressgrp-5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Данный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7"/>
          <w:szCs w:val="27"/>
        </w:rPr>
        <w:t>15.05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3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860025200730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3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8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3rplc-3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скриншотом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15.05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3rplc-3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 месяцев (</w:t>
      </w:r>
      <w:r>
        <w:rPr>
          <w:rStyle w:val="cat-Addressgrp-5rplc-3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3rplc-4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 месяцев (</w:t>
      </w:r>
      <w:r>
        <w:rPr>
          <w:rStyle w:val="cat-Addressgrp-5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16.04.2025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генерального 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8rplc-4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4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7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5rplc-4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</w:t>
      </w:r>
      <w:r>
        <w:rPr>
          <w:rFonts w:ascii="Times New Roman" w:eastAsia="Times New Roman" w:hAnsi="Times New Roman" w:cs="Times New Roman"/>
          <w:sz w:val="27"/>
          <w:szCs w:val="27"/>
        </w:rPr>
        <w:t>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7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9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– 40102810245370000007Получатель - УФК по </w:t>
      </w:r>
      <w:r>
        <w:rPr>
          <w:rStyle w:val="cat-Addressgrp-8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10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10rplc-5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86000107250249599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11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6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Style w:val="cat-FIOgrp-24rplc-6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4rplc-62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1rplc-3">
    <w:name w:val="cat-FIO grp-2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8rplc-5">
    <w:name w:val="cat-OrganizationName grp-28 rplc-5"/>
    <w:basedOn w:val="DefaultParagraphFont"/>
  </w:style>
  <w:style w:type="character" w:customStyle="1" w:styleId="cat-UserDefinedgrp-37rplc-7">
    <w:name w:val="cat-UserDefined grp-37 rplc-7"/>
    <w:basedOn w:val="DefaultParagraphFont"/>
  </w:style>
  <w:style w:type="character" w:customStyle="1" w:styleId="cat-ExternalSystemDefinedgrp-35rplc-8">
    <w:name w:val="cat-ExternalSystemDefined grp-35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27rplc-13">
    <w:name w:val="cat-PassportData grp-27 rplc-13"/>
    <w:basedOn w:val="DefaultParagraphFont"/>
  </w:style>
  <w:style w:type="character" w:customStyle="1" w:styleId="cat-ExternalSystemDefinedgrp-36rplc-14">
    <w:name w:val="cat-ExternalSystemDefined grp-36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FIOgrp-23rplc-17">
    <w:name w:val="cat-FIO grp-23 rplc-17"/>
    <w:basedOn w:val="DefaultParagraphFont"/>
  </w:style>
  <w:style w:type="character" w:customStyle="1" w:styleId="cat-OrganizationNamegrp-28rplc-18">
    <w:name w:val="cat-OrganizationName grp-2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FIOgrp-23rplc-25">
    <w:name w:val="cat-FIO grp-23 rplc-25"/>
    <w:basedOn w:val="DefaultParagraphFont"/>
  </w:style>
  <w:style w:type="character" w:customStyle="1" w:styleId="cat-FIOgrp-23rplc-28">
    <w:name w:val="cat-FIO grp-23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FIOgrp-23rplc-32">
    <w:name w:val="cat-FIO grp-23 rplc-32"/>
    <w:basedOn w:val="DefaultParagraphFont"/>
  </w:style>
  <w:style w:type="character" w:customStyle="1" w:styleId="cat-FIOgrp-23rplc-33">
    <w:name w:val="cat-FIO grp-23 rplc-33"/>
    <w:basedOn w:val="DefaultParagraphFont"/>
  </w:style>
  <w:style w:type="character" w:customStyle="1" w:styleId="cat-OrganizationNamegrp-28rplc-34">
    <w:name w:val="cat-OrganizationName grp-28 rplc-34"/>
    <w:basedOn w:val="DefaultParagraphFont"/>
  </w:style>
  <w:style w:type="character" w:customStyle="1" w:styleId="cat-FIOgrp-23rplc-35">
    <w:name w:val="cat-FIO grp-23 rplc-35"/>
    <w:basedOn w:val="DefaultParagraphFont"/>
  </w:style>
  <w:style w:type="character" w:customStyle="1" w:styleId="cat-FIOgrp-23rplc-37">
    <w:name w:val="cat-FIO grp-23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FIOgrp-23rplc-40">
    <w:name w:val="cat-FIO grp-23 rplc-40"/>
    <w:basedOn w:val="DefaultParagraphFont"/>
  </w:style>
  <w:style w:type="character" w:customStyle="1" w:styleId="cat-Addressgrp-5rplc-41">
    <w:name w:val="cat-Address grp-5 rplc-41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OrganizationNamegrp-28rplc-45">
    <w:name w:val="cat-OrganizationName grp-28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Sumgrp-25rplc-48">
    <w:name w:val="cat-Sum grp-25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9rplc-50">
    <w:name w:val="cat-Address grp-9 rplc-50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Addressgrp-10rplc-53">
    <w:name w:val="cat-Address grp-10 rplc-53"/>
    <w:basedOn w:val="DefaultParagraphFont"/>
  </w:style>
  <w:style w:type="character" w:customStyle="1" w:styleId="cat-Addressgrp-10rplc-54">
    <w:name w:val="cat-Address grp-10 rplc-54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11rplc-59">
    <w:name w:val="cat-Address grp-11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4rplc-61">
    <w:name w:val="cat-FIO grp-24 rplc-61"/>
    <w:basedOn w:val="DefaultParagraphFont"/>
  </w:style>
  <w:style w:type="character" w:customStyle="1" w:styleId="cat-FIOgrp-24rplc-62">
    <w:name w:val="cat-FIO grp-24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